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5B86" w14:textId="4CEFD249" w:rsidR="00C66350" w:rsidRDefault="00626768" w:rsidP="00424A12">
      <w:pPr>
        <w:pStyle w:val="Heading1"/>
        <w:spacing w:before="0"/>
        <w:rPr>
          <w:color w:val="auto"/>
        </w:rPr>
      </w:pPr>
      <w:r w:rsidRPr="00424A12">
        <w:rPr>
          <w:color w:val="auto"/>
        </w:rPr>
        <w:t>Modernization vs. Status Quo Comparison Sheet</w:t>
      </w:r>
    </w:p>
    <w:p w14:paraId="21F95D9A" w14:textId="77777777" w:rsidR="00424A12" w:rsidRPr="00424A12" w:rsidRDefault="00424A12" w:rsidP="00424A12"/>
    <w:p w14:paraId="6801EE3B" w14:textId="77777777" w:rsidR="00C66350" w:rsidRPr="00424A12" w:rsidRDefault="00626768" w:rsidP="00424A12">
      <w:pPr>
        <w:pStyle w:val="Heading2"/>
        <w:spacing w:before="0"/>
        <w:rPr>
          <w:color w:val="auto"/>
        </w:rPr>
      </w:pPr>
      <w:r w:rsidRPr="00424A12">
        <w:rPr>
          <w:color w:val="auto"/>
        </w:rPr>
        <w:t>Purpose</w:t>
      </w:r>
    </w:p>
    <w:p w14:paraId="2D1D435F" w14:textId="77777777" w:rsidR="00C66350" w:rsidRPr="00424A12" w:rsidRDefault="00626768" w:rsidP="00424A12">
      <w:r w:rsidRPr="00424A12">
        <w:t>This comparison sheet outlines the structural differences between North Carolina’s current statutory framework and a modernized practice authority framework. It is designed for legislative, hospital, business, and stakeholder use to clarify that the issue is modernization of regulation — not elimination of collaboration.</w:t>
      </w:r>
    </w:p>
    <w:p w14:paraId="56AE699A" w14:textId="77777777" w:rsidR="00C66350" w:rsidRPr="00424A12" w:rsidRDefault="00626768" w:rsidP="00424A12">
      <w:pPr>
        <w:pStyle w:val="Heading2"/>
        <w:spacing w:before="0"/>
        <w:rPr>
          <w:color w:val="auto"/>
        </w:rPr>
      </w:pPr>
      <w:r w:rsidRPr="00424A12">
        <w:rPr>
          <w:color w:val="auto"/>
        </w:rPr>
        <w:t>Side-by-Side Framework Comparison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24A12" w:rsidRPr="00424A12" w14:paraId="014A044C" w14:textId="77777777">
        <w:tc>
          <w:tcPr>
            <w:tcW w:w="4320" w:type="dxa"/>
          </w:tcPr>
          <w:p w14:paraId="7C162DD5" w14:textId="77777777" w:rsidR="00C66350" w:rsidRPr="00424A12" w:rsidRDefault="00626768" w:rsidP="00424A12">
            <w:r w:rsidRPr="00424A12">
              <w:rPr>
                <w:b/>
              </w:rPr>
              <w:t>Current Status Quo</w:t>
            </w:r>
          </w:p>
        </w:tc>
        <w:tc>
          <w:tcPr>
            <w:tcW w:w="4320" w:type="dxa"/>
          </w:tcPr>
          <w:p w14:paraId="79E92C00" w14:textId="77777777" w:rsidR="00C66350" w:rsidRPr="00424A12" w:rsidRDefault="00626768" w:rsidP="00424A12">
            <w:r w:rsidRPr="00424A12">
              <w:rPr>
                <w:b/>
              </w:rPr>
              <w:t>Modernized Framework</w:t>
            </w:r>
          </w:p>
        </w:tc>
      </w:tr>
      <w:tr w:rsidR="00424A12" w:rsidRPr="00424A12" w14:paraId="4AFC13E8" w14:textId="77777777">
        <w:tc>
          <w:tcPr>
            <w:tcW w:w="4320" w:type="dxa"/>
          </w:tcPr>
          <w:p w14:paraId="0F939AAC" w14:textId="77777777" w:rsidR="00C66350" w:rsidRPr="00424A12" w:rsidRDefault="00626768" w:rsidP="00424A12">
            <w:r w:rsidRPr="00424A12">
              <w:t>Mandatory physician supervision contract required by statute.</w:t>
            </w:r>
          </w:p>
        </w:tc>
        <w:tc>
          <w:tcPr>
            <w:tcW w:w="4320" w:type="dxa"/>
          </w:tcPr>
          <w:p w14:paraId="2CA181C4" w14:textId="77777777" w:rsidR="00C66350" w:rsidRPr="00424A12" w:rsidRDefault="00626768" w:rsidP="00424A12">
            <w:r w:rsidRPr="00424A12">
              <w:t>Independent statutory authority aligned with education and licensure.</w:t>
            </w:r>
          </w:p>
        </w:tc>
      </w:tr>
      <w:tr w:rsidR="00424A12" w:rsidRPr="00424A12" w14:paraId="4F62E41A" w14:textId="77777777">
        <w:tc>
          <w:tcPr>
            <w:tcW w:w="4320" w:type="dxa"/>
          </w:tcPr>
          <w:p w14:paraId="4394895B" w14:textId="77777777" w:rsidR="00C66350" w:rsidRPr="00424A12" w:rsidRDefault="00626768" w:rsidP="00424A12">
            <w:r w:rsidRPr="00424A12">
              <w:t>Practice expansion dependent on securing supervisory agreement.</w:t>
            </w:r>
          </w:p>
        </w:tc>
        <w:tc>
          <w:tcPr>
            <w:tcW w:w="4320" w:type="dxa"/>
          </w:tcPr>
          <w:p w14:paraId="34663097" w14:textId="77777777" w:rsidR="00C66350" w:rsidRPr="00424A12" w:rsidRDefault="00626768" w:rsidP="00424A12">
            <w:r w:rsidRPr="00424A12">
              <w:t>Practice expansion based on community need and workforce availability.</w:t>
            </w:r>
          </w:p>
        </w:tc>
      </w:tr>
      <w:tr w:rsidR="00424A12" w:rsidRPr="00424A12" w14:paraId="50F14F3C" w14:textId="77777777">
        <w:tc>
          <w:tcPr>
            <w:tcW w:w="4320" w:type="dxa"/>
          </w:tcPr>
          <w:p w14:paraId="1FD58BB8" w14:textId="77777777" w:rsidR="00C66350" w:rsidRPr="00424A12" w:rsidRDefault="00626768" w:rsidP="00424A12">
            <w:r w:rsidRPr="00424A12">
              <w:t>Administrative layers for contract management and documentation.</w:t>
            </w:r>
          </w:p>
        </w:tc>
        <w:tc>
          <w:tcPr>
            <w:tcW w:w="4320" w:type="dxa"/>
          </w:tcPr>
          <w:p w14:paraId="5E5DD640" w14:textId="77777777" w:rsidR="00C66350" w:rsidRPr="00424A12" w:rsidRDefault="00626768" w:rsidP="00424A12">
            <w:r w:rsidRPr="00424A12">
              <w:t>Reduced administrative burden and simplified compliance structure.</w:t>
            </w:r>
          </w:p>
        </w:tc>
      </w:tr>
      <w:tr w:rsidR="00424A12" w:rsidRPr="00424A12" w14:paraId="42848609" w14:textId="77777777">
        <w:tc>
          <w:tcPr>
            <w:tcW w:w="4320" w:type="dxa"/>
          </w:tcPr>
          <w:p w14:paraId="54797F8C" w14:textId="77777777" w:rsidR="00C66350" w:rsidRPr="00424A12" w:rsidRDefault="00626768" w:rsidP="00424A12">
            <w:r w:rsidRPr="00424A12">
              <w:t>Hiring timelines may depend on supervisory availability.</w:t>
            </w:r>
          </w:p>
        </w:tc>
        <w:tc>
          <w:tcPr>
            <w:tcW w:w="4320" w:type="dxa"/>
          </w:tcPr>
          <w:p w14:paraId="541EF407" w14:textId="77777777" w:rsidR="00C66350" w:rsidRPr="00424A12" w:rsidRDefault="00626768" w:rsidP="00424A12">
            <w:r w:rsidRPr="00424A12">
              <w:t>Hiring timelines driven by workforce supply and operational readiness.</w:t>
            </w:r>
          </w:p>
        </w:tc>
      </w:tr>
      <w:tr w:rsidR="00424A12" w:rsidRPr="00424A12" w14:paraId="165C53D5" w14:textId="77777777">
        <w:tc>
          <w:tcPr>
            <w:tcW w:w="4320" w:type="dxa"/>
          </w:tcPr>
          <w:p w14:paraId="7116EAC6" w14:textId="77777777" w:rsidR="00C66350" w:rsidRPr="00424A12" w:rsidRDefault="00626768" w:rsidP="00424A12">
            <w:r w:rsidRPr="00424A12">
              <w:t>Limited flexibility to rapidly respond to coverage or population growth.</w:t>
            </w:r>
          </w:p>
        </w:tc>
        <w:tc>
          <w:tcPr>
            <w:tcW w:w="4320" w:type="dxa"/>
          </w:tcPr>
          <w:p w14:paraId="1739902A" w14:textId="77777777" w:rsidR="00C66350" w:rsidRPr="00424A12" w:rsidRDefault="00626768" w:rsidP="00424A12">
            <w:r w:rsidRPr="00424A12">
              <w:t>Greater flexibility to deploy clinicians where demand is highest.</w:t>
            </w:r>
          </w:p>
        </w:tc>
      </w:tr>
      <w:tr w:rsidR="00C66350" w:rsidRPr="00424A12" w14:paraId="78B6F322" w14:textId="77777777">
        <w:tc>
          <w:tcPr>
            <w:tcW w:w="4320" w:type="dxa"/>
          </w:tcPr>
          <w:p w14:paraId="6F08CB2C" w14:textId="77777777" w:rsidR="00C66350" w:rsidRPr="00424A12" w:rsidRDefault="00626768" w:rsidP="00424A12">
            <w:proofErr w:type="gramStart"/>
            <w:r w:rsidRPr="00424A12">
              <w:t>Statute</w:t>
            </w:r>
            <w:proofErr w:type="gramEnd"/>
            <w:r w:rsidRPr="00424A12">
              <w:t xml:space="preserve"> written under older healthcare delivery assumptions.</w:t>
            </w:r>
          </w:p>
        </w:tc>
        <w:tc>
          <w:tcPr>
            <w:tcW w:w="4320" w:type="dxa"/>
          </w:tcPr>
          <w:p w14:paraId="3F674B0C" w14:textId="77777777" w:rsidR="00C66350" w:rsidRPr="00424A12" w:rsidRDefault="00626768" w:rsidP="00424A12">
            <w:r w:rsidRPr="00424A12">
              <w:t>Regulatory framework updated to reflect modern workforce realities.</w:t>
            </w:r>
          </w:p>
        </w:tc>
      </w:tr>
    </w:tbl>
    <w:p w14:paraId="1D9A4F26" w14:textId="77777777" w:rsidR="00C66350" w:rsidRPr="00424A12" w:rsidRDefault="00C66350" w:rsidP="00424A12"/>
    <w:p w14:paraId="43DB1895" w14:textId="77777777" w:rsidR="00C66350" w:rsidRPr="00424A12" w:rsidRDefault="00626768" w:rsidP="00424A12">
      <w:pPr>
        <w:pStyle w:val="Heading2"/>
        <w:spacing w:before="0"/>
        <w:rPr>
          <w:color w:val="auto"/>
        </w:rPr>
      </w:pPr>
      <w:r w:rsidRPr="00424A12">
        <w:rPr>
          <w:color w:val="auto"/>
        </w:rPr>
        <w:t>What Modernization Does NOT Do</w:t>
      </w:r>
    </w:p>
    <w:p w14:paraId="474AD350" w14:textId="77777777" w:rsidR="00C66350" w:rsidRPr="00424A12" w:rsidRDefault="00626768" w:rsidP="00424A12">
      <w:pPr>
        <w:pStyle w:val="ListBullet"/>
      </w:pPr>
      <w:r w:rsidRPr="00424A12">
        <w:t>Does not remove physicians from the healthcare system.</w:t>
      </w:r>
    </w:p>
    <w:p w14:paraId="1C996CF8" w14:textId="77777777" w:rsidR="00C66350" w:rsidRPr="00424A12" w:rsidRDefault="00626768" w:rsidP="00424A12">
      <w:pPr>
        <w:pStyle w:val="ListBullet"/>
      </w:pPr>
      <w:r w:rsidRPr="00424A12">
        <w:t>Does not prohibit voluntary collaboration between clinicians.</w:t>
      </w:r>
    </w:p>
    <w:p w14:paraId="44F635D1" w14:textId="77777777" w:rsidR="00C66350" w:rsidRPr="00424A12" w:rsidRDefault="00626768" w:rsidP="00424A12">
      <w:pPr>
        <w:pStyle w:val="ListBullet"/>
      </w:pPr>
      <w:r w:rsidRPr="00424A12">
        <w:t>Does not eliminate professional accountability or licensure standards.</w:t>
      </w:r>
    </w:p>
    <w:p w14:paraId="347B76F5" w14:textId="77777777" w:rsidR="00C66350" w:rsidRPr="00424A12" w:rsidRDefault="00626768" w:rsidP="00424A12">
      <w:pPr>
        <w:pStyle w:val="ListBullet"/>
      </w:pPr>
      <w:r w:rsidRPr="00424A12">
        <w:t>Does not change educational or certification requirements.</w:t>
      </w:r>
    </w:p>
    <w:p w14:paraId="7F8F5B48" w14:textId="77777777" w:rsidR="00C66350" w:rsidRPr="00424A12" w:rsidRDefault="00626768" w:rsidP="00424A12">
      <w:pPr>
        <w:pStyle w:val="Heading2"/>
        <w:spacing w:before="0"/>
        <w:rPr>
          <w:color w:val="auto"/>
        </w:rPr>
      </w:pPr>
      <w:r w:rsidRPr="00424A12">
        <w:rPr>
          <w:color w:val="auto"/>
        </w:rPr>
        <w:t>Strategic Framing Guidance (For Internal Use)</w:t>
      </w:r>
    </w:p>
    <w:p w14:paraId="39ADE7E5" w14:textId="77777777" w:rsidR="00C66350" w:rsidRPr="00424A12" w:rsidRDefault="00626768" w:rsidP="00424A12">
      <w:r w:rsidRPr="00424A12">
        <w:t>When presenting this comparison, lead with modernization and alignment — not conflict. The goal is to demonstrate regulatory updating, workforce flexibility, and access responsiveness. Avoid framing that suggests displacement or professional competition.</w:t>
      </w:r>
    </w:p>
    <w:p w14:paraId="5FA61714" w14:textId="77777777" w:rsidR="00C66350" w:rsidRPr="00424A12" w:rsidRDefault="00626768" w:rsidP="00424A12">
      <w:pPr>
        <w:pStyle w:val="Heading2"/>
        <w:spacing w:before="0"/>
        <w:rPr>
          <w:color w:val="auto"/>
        </w:rPr>
      </w:pPr>
      <w:r w:rsidRPr="00424A12">
        <w:rPr>
          <w:color w:val="auto"/>
        </w:rPr>
        <w:t>Bottom Line</w:t>
      </w:r>
    </w:p>
    <w:p w14:paraId="01D040C6" w14:textId="77777777" w:rsidR="00C66350" w:rsidRPr="00424A12" w:rsidRDefault="00626768" w:rsidP="00424A12">
      <w:r w:rsidRPr="00424A12">
        <w:t>The debate is not about whether collaboration exists — it already does. The question is whether statutory rigidity should continue to limit workforce deployment in a state experiencing coverage growth and capacity pressure.</w:t>
      </w:r>
    </w:p>
    <w:sectPr w:rsidR="00C66350" w:rsidRPr="00424A12" w:rsidSect="00424A12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043329">
    <w:abstractNumId w:val="8"/>
  </w:num>
  <w:num w:numId="2" w16cid:durableId="15735160">
    <w:abstractNumId w:val="6"/>
  </w:num>
  <w:num w:numId="3" w16cid:durableId="74472010">
    <w:abstractNumId w:val="5"/>
  </w:num>
  <w:num w:numId="4" w16cid:durableId="966279617">
    <w:abstractNumId w:val="4"/>
  </w:num>
  <w:num w:numId="5" w16cid:durableId="941574356">
    <w:abstractNumId w:val="7"/>
  </w:num>
  <w:num w:numId="6" w16cid:durableId="1167861127">
    <w:abstractNumId w:val="3"/>
  </w:num>
  <w:num w:numId="7" w16cid:durableId="131489021">
    <w:abstractNumId w:val="2"/>
  </w:num>
  <w:num w:numId="8" w16cid:durableId="1723094865">
    <w:abstractNumId w:val="1"/>
  </w:num>
  <w:num w:numId="9" w16cid:durableId="52425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4A12"/>
    <w:rsid w:val="00626768"/>
    <w:rsid w:val="00794FD4"/>
    <w:rsid w:val="00AA1D8D"/>
    <w:rsid w:val="00B47730"/>
    <w:rsid w:val="00C66350"/>
    <w:rsid w:val="00CB0664"/>
    <w:rsid w:val="00F428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C65B66"/>
  <w14:defaultImageDpi w14:val="300"/>
  <w15:docId w15:val="{134001AB-5591-4C8E-BDD3-AA75743D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2026-02-24T16:09:00Z</dcterms:created>
  <dcterms:modified xsi:type="dcterms:W3CDTF">2026-03-26T02:44:00Z</dcterms:modified>
  <cp:category/>
</cp:coreProperties>
</file>