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498B" w14:textId="4379E234" w:rsidR="00804A32" w:rsidRDefault="00BC6368" w:rsidP="00E976FA">
      <w:pPr>
        <w:pStyle w:val="Heading1"/>
        <w:spacing w:before="0"/>
        <w:rPr>
          <w:color w:val="auto"/>
        </w:rPr>
      </w:pPr>
      <w:r w:rsidRPr="00E976FA">
        <w:rPr>
          <w:color w:val="auto"/>
        </w:rPr>
        <w:t>Legislative Process Brief: Understanding Reform Stall Dynamics</w:t>
      </w:r>
    </w:p>
    <w:p w14:paraId="1492F45F" w14:textId="77777777" w:rsidR="00E976FA" w:rsidRPr="00E976FA" w:rsidRDefault="00E976FA" w:rsidP="00FC2B8E">
      <w:pPr>
        <w:spacing w:after="0"/>
      </w:pPr>
    </w:p>
    <w:p w14:paraId="2A6232F6" w14:textId="77777777" w:rsidR="00804A32" w:rsidRPr="00E976FA" w:rsidRDefault="00BC6368" w:rsidP="00E976FA">
      <w:pPr>
        <w:pStyle w:val="Heading2"/>
        <w:spacing w:before="0"/>
        <w:rPr>
          <w:color w:val="auto"/>
        </w:rPr>
      </w:pPr>
      <w:r w:rsidRPr="00E976FA">
        <w:rPr>
          <w:color w:val="auto"/>
        </w:rPr>
        <w:t>Purpose</w:t>
      </w:r>
    </w:p>
    <w:p w14:paraId="1449DC90" w14:textId="77777777" w:rsidR="00804A32" w:rsidRPr="00E976FA" w:rsidRDefault="00BC6368" w:rsidP="00E976FA">
      <w:r w:rsidRPr="00E976FA">
        <w:t>This brief explains why long‑running healthcare modernization efforts can demonstrate bipartisan sponsorship and sustained public discussion, yet still not reach final passage. The focus is on structural legislative dynamics rather than personalities or motives.</w:t>
      </w:r>
    </w:p>
    <w:p w14:paraId="709F47F1" w14:textId="77777777" w:rsidR="00804A32" w:rsidRPr="00E976FA" w:rsidRDefault="00BC6368" w:rsidP="00E976FA">
      <w:pPr>
        <w:pStyle w:val="Heading2"/>
        <w:spacing w:before="0"/>
        <w:rPr>
          <w:color w:val="auto"/>
        </w:rPr>
      </w:pPr>
      <w:r w:rsidRPr="00E976FA">
        <w:rPr>
          <w:color w:val="auto"/>
        </w:rPr>
        <w:t>1) Bipartisan Support vs. Procedural Advancement</w:t>
      </w:r>
    </w:p>
    <w:p w14:paraId="2997DB45" w14:textId="77777777" w:rsidR="00804A32" w:rsidRPr="00E976FA" w:rsidRDefault="00BC6368" w:rsidP="00E976FA">
      <w:pPr>
        <w:pStyle w:val="ListBullet"/>
      </w:pPr>
      <w:r w:rsidRPr="00E976FA">
        <w:t>Healthcare modernization proposals can attract sponsors from both parties across multiple sessions.</w:t>
      </w:r>
    </w:p>
    <w:p w14:paraId="41C39D24" w14:textId="77777777" w:rsidR="00804A32" w:rsidRPr="00E976FA" w:rsidRDefault="00BC6368" w:rsidP="00E976FA">
      <w:pPr>
        <w:pStyle w:val="ListBullet"/>
      </w:pPr>
      <w:r w:rsidRPr="00E976FA">
        <w:t>Sponsorship and public support do not automatically translate into floor votes.</w:t>
      </w:r>
    </w:p>
    <w:p w14:paraId="087034F7" w14:textId="77777777" w:rsidR="00804A32" w:rsidRPr="00E976FA" w:rsidRDefault="00BC6368" w:rsidP="00E976FA">
      <w:pPr>
        <w:pStyle w:val="ListBullet"/>
      </w:pPr>
      <w:r w:rsidRPr="00E976FA">
        <w:t>Committee movement and crossover milestones do not guarantee final enactment.</w:t>
      </w:r>
    </w:p>
    <w:p w14:paraId="53AC94C3" w14:textId="77777777" w:rsidR="00804A32" w:rsidRPr="00E976FA" w:rsidRDefault="00BC6368" w:rsidP="00E976FA">
      <w:pPr>
        <w:pStyle w:val="Heading2"/>
        <w:spacing w:before="0"/>
        <w:rPr>
          <w:color w:val="auto"/>
        </w:rPr>
      </w:pPr>
      <w:r w:rsidRPr="00E976FA">
        <w:rPr>
          <w:color w:val="auto"/>
        </w:rPr>
        <w:t>2) Legislative Gatekeeping Structure</w:t>
      </w:r>
    </w:p>
    <w:p w14:paraId="1ED3DD0D" w14:textId="77777777" w:rsidR="00804A32" w:rsidRPr="00E976FA" w:rsidRDefault="00BC6368" w:rsidP="00E976FA">
      <w:pPr>
        <w:pStyle w:val="ListBullet"/>
      </w:pPr>
      <w:r w:rsidRPr="00E976FA">
        <w:t>Bills must move through committee chairs, leadership calendars, and procedural timelines.</w:t>
      </w:r>
    </w:p>
    <w:p w14:paraId="40D3F7E4" w14:textId="77777777" w:rsidR="00804A32" w:rsidRPr="00E976FA" w:rsidRDefault="00BC6368" w:rsidP="00E976FA">
      <w:pPr>
        <w:pStyle w:val="ListBullet"/>
      </w:pPr>
      <w:r w:rsidRPr="00E976FA">
        <w:t>Leadership prioritization determines which bills receive floor consideration.</w:t>
      </w:r>
    </w:p>
    <w:p w14:paraId="1ED9BA33" w14:textId="77777777" w:rsidR="00804A32" w:rsidRPr="00E976FA" w:rsidRDefault="00BC6368" w:rsidP="00E976FA">
      <w:pPr>
        <w:pStyle w:val="ListBullet"/>
      </w:pPr>
      <w:r w:rsidRPr="00E976FA">
        <w:t>Healthcare policy often competes with budget, tax, and other high‑priority items.</w:t>
      </w:r>
    </w:p>
    <w:p w14:paraId="21C8FE3C" w14:textId="77777777" w:rsidR="00804A32" w:rsidRPr="00E976FA" w:rsidRDefault="00BC6368" w:rsidP="00E976FA">
      <w:pPr>
        <w:pStyle w:val="Heading2"/>
        <w:spacing w:before="0"/>
        <w:rPr>
          <w:color w:val="auto"/>
        </w:rPr>
      </w:pPr>
      <w:r w:rsidRPr="00E976FA">
        <w:rPr>
          <w:color w:val="auto"/>
        </w:rPr>
        <w:t>3) Organized Opposition vs. Diffuse Support</w:t>
      </w:r>
    </w:p>
    <w:p w14:paraId="36CE171E" w14:textId="77777777" w:rsidR="00804A32" w:rsidRPr="00E976FA" w:rsidRDefault="00BC6368" w:rsidP="00E976FA">
      <w:pPr>
        <w:pStyle w:val="ListBullet"/>
      </w:pPr>
      <w:r w:rsidRPr="00E976FA">
        <w:t>Opposition groups may be highly concentrated and consistently engaged.</w:t>
      </w:r>
    </w:p>
    <w:p w14:paraId="1B59B324" w14:textId="77777777" w:rsidR="00804A32" w:rsidRPr="00E976FA" w:rsidRDefault="00BC6368" w:rsidP="00E976FA">
      <w:pPr>
        <w:pStyle w:val="ListBullet"/>
      </w:pPr>
      <w:r w:rsidRPr="00E976FA">
        <w:t>Support coalitions can be broad but less uniformly activated.</w:t>
      </w:r>
    </w:p>
    <w:p w14:paraId="5B3A2C5E" w14:textId="77777777" w:rsidR="00804A32" w:rsidRPr="00E976FA" w:rsidRDefault="00BC6368" w:rsidP="00E976FA">
      <w:pPr>
        <w:pStyle w:val="ListBullet"/>
      </w:pPr>
      <w:r w:rsidRPr="00E976FA">
        <w:t>Diffuse support may not exert the same sustained procedural pressure as organized opposition.</w:t>
      </w:r>
    </w:p>
    <w:p w14:paraId="61C4E624" w14:textId="77777777" w:rsidR="00804A32" w:rsidRPr="00E976FA" w:rsidRDefault="00BC6368" w:rsidP="00E976FA">
      <w:pPr>
        <w:pStyle w:val="Heading2"/>
        <w:spacing w:before="0"/>
        <w:rPr>
          <w:color w:val="auto"/>
        </w:rPr>
      </w:pPr>
      <w:r w:rsidRPr="00E976FA">
        <w:rPr>
          <w:color w:val="auto"/>
        </w:rPr>
        <w:t>4) Status Quo Bias in Technical Policy Areas</w:t>
      </w:r>
    </w:p>
    <w:p w14:paraId="59BDE4AB" w14:textId="77777777" w:rsidR="00804A32" w:rsidRPr="00E976FA" w:rsidRDefault="00BC6368" w:rsidP="00E976FA">
      <w:pPr>
        <w:pStyle w:val="ListBullet"/>
      </w:pPr>
      <w:r w:rsidRPr="00E976FA">
        <w:t>Complex healthcare regulatory changes often default to caution.</w:t>
      </w:r>
    </w:p>
    <w:p w14:paraId="64FA5C0B" w14:textId="77777777" w:rsidR="00804A32" w:rsidRPr="00E976FA" w:rsidRDefault="00BC6368" w:rsidP="00E976FA">
      <w:pPr>
        <w:pStyle w:val="ListBullet"/>
      </w:pPr>
      <w:r w:rsidRPr="00E976FA">
        <w:t>Legislators may defer movement without strong district‑level prompting.</w:t>
      </w:r>
    </w:p>
    <w:p w14:paraId="73AA0FB9" w14:textId="77777777" w:rsidR="00804A32" w:rsidRPr="00E976FA" w:rsidRDefault="00BC6368" w:rsidP="00E976FA">
      <w:pPr>
        <w:pStyle w:val="ListBullet"/>
      </w:pPr>
      <w:r w:rsidRPr="00E976FA">
        <w:t>Technical scope‑of‑practice debates can stall absent visible constituent engagement.</w:t>
      </w:r>
    </w:p>
    <w:p w14:paraId="5E2A2477" w14:textId="77777777" w:rsidR="00804A32" w:rsidRPr="00E976FA" w:rsidRDefault="00BC6368" w:rsidP="00E976FA">
      <w:pPr>
        <w:pStyle w:val="Heading2"/>
        <w:spacing w:before="0"/>
        <w:rPr>
          <w:color w:val="auto"/>
        </w:rPr>
      </w:pPr>
      <w:r w:rsidRPr="00E976FA">
        <w:rPr>
          <w:color w:val="auto"/>
        </w:rPr>
        <w:t>5) Why Bottom‑Up Validation Matters</w:t>
      </w:r>
    </w:p>
    <w:p w14:paraId="11C5D79A" w14:textId="77777777" w:rsidR="00804A32" w:rsidRPr="00E976FA" w:rsidRDefault="00BC6368" w:rsidP="00E976FA">
      <w:pPr>
        <w:pStyle w:val="ListBullet"/>
      </w:pPr>
      <w:r w:rsidRPr="00E976FA">
        <w:t>Local hospitals, chambers of commerce, employers, and community institutions carry district‑level credibility.</w:t>
      </w:r>
    </w:p>
    <w:p w14:paraId="6DECF7C6" w14:textId="77777777" w:rsidR="00804A32" w:rsidRPr="00E976FA" w:rsidRDefault="00BC6368" w:rsidP="00E976FA">
      <w:pPr>
        <w:pStyle w:val="ListBullet"/>
      </w:pPr>
      <w:r w:rsidRPr="00E976FA">
        <w:t>When validators communicate directly with legislators, modernization proposals gain priority consideration.</w:t>
      </w:r>
    </w:p>
    <w:p w14:paraId="36EA560D" w14:textId="77777777" w:rsidR="00804A32" w:rsidRPr="00E976FA" w:rsidRDefault="00BC6368" w:rsidP="00E976FA">
      <w:pPr>
        <w:pStyle w:val="ListBullet"/>
      </w:pPr>
      <w:r w:rsidRPr="00E976FA">
        <w:t>Leadership decisions are influenced by signals from trusted local stakeholders.</w:t>
      </w:r>
    </w:p>
    <w:p w14:paraId="56F3F295" w14:textId="77777777" w:rsidR="00804A32" w:rsidRPr="00E976FA" w:rsidRDefault="00BC6368" w:rsidP="00E976FA">
      <w:pPr>
        <w:pStyle w:val="Heading2"/>
        <w:spacing w:before="0"/>
        <w:rPr>
          <w:color w:val="auto"/>
        </w:rPr>
      </w:pPr>
      <w:r w:rsidRPr="00E976FA">
        <w:rPr>
          <w:color w:val="auto"/>
        </w:rPr>
        <w:t>Framing Guidance</w:t>
      </w:r>
    </w:p>
    <w:p w14:paraId="67AE315E" w14:textId="77777777" w:rsidR="00804A32" w:rsidRPr="00E976FA" w:rsidRDefault="00BC6368" w:rsidP="00E976FA">
      <w:r w:rsidRPr="00E976FA">
        <w:t>This brief should be used to explain stall dynamics without attributing blame. The narrative focus should remain on modernization lag, structural inertia, and the importance of coordinated stakeholder engagement.</w:t>
      </w:r>
    </w:p>
    <w:p w14:paraId="20A8CAED" w14:textId="77777777" w:rsidR="00804A32" w:rsidRPr="00E976FA" w:rsidRDefault="00BC6368" w:rsidP="00E976FA">
      <w:pPr>
        <w:pStyle w:val="Heading2"/>
        <w:spacing w:before="0"/>
        <w:rPr>
          <w:color w:val="auto"/>
        </w:rPr>
      </w:pPr>
      <w:r w:rsidRPr="00E976FA">
        <w:rPr>
          <w:color w:val="auto"/>
        </w:rPr>
        <w:t>Bottom Line</w:t>
      </w:r>
    </w:p>
    <w:p w14:paraId="067DAF88" w14:textId="77777777" w:rsidR="00804A32" w:rsidRPr="00E976FA" w:rsidRDefault="00BC6368" w:rsidP="00E976FA">
      <w:r w:rsidRPr="00E976FA">
        <w:t>Repeated introduction of reform indicates durable policy interest. Movement requires concentrated, district‑level validation that elevates modernization from a policy discussion to a legislative priority.</w:t>
      </w:r>
    </w:p>
    <w:sectPr w:rsidR="00804A32" w:rsidRPr="00E976FA" w:rsidSect="00E976FA">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2086918">
    <w:abstractNumId w:val="8"/>
  </w:num>
  <w:num w:numId="2" w16cid:durableId="2099666922">
    <w:abstractNumId w:val="6"/>
  </w:num>
  <w:num w:numId="3" w16cid:durableId="743331961">
    <w:abstractNumId w:val="5"/>
  </w:num>
  <w:num w:numId="4" w16cid:durableId="1190414498">
    <w:abstractNumId w:val="4"/>
  </w:num>
  <w:num w:numId="5" w16cid:durableId="1430618088">
    <w:abstractNumId w:val="7"/>
  </w:num>
  <w:num w:numId="6" w16cid:durableId="40831564">
    <w:abstractNumId w:val="3"/>
  </w:num>
  <w:num w:numId="7" w16cid:durableId="812333625">
    <w:abstractNumId w:val="2"/>
  </w:num>
  <w:num w:numId="8" w16cid:durableId="1870341022">
    <w:abstractNumId w:val="1"/>
  </w:num>
  <w:num w:numId="9" w16cid:durableId="167976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94FD4"/>
    <w:rsid w:val="00804A32"/>
    <w:rsid w:val="00AA1D8D"/>
    <w:rsid w:val="00B47730"/>
    <w:rsid w:val="00BC6368"/>
    <w:rsid w:val="00CB0664"/>
    <w:rsid w:val="00E976FA"/>
    <w:rsid w:val="00F428F4"/>
    <w:rsid w:val="00FC2B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F53D3"/>
  <w14:defaultImageDpi w14:val="300"/>
  <w15:docId w15:val="{134001AB-5591-4C8E-BDD3-AA75743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4</cp:revision>
  <dcterms:created xsi:type="dcterms:W3CDTF">2026-02-24T16:21:00Z</dcterms:created>
  <dcterms:modified xsi:type="dcterms:W3CDTF">2026-03-26T02:47:00Z</dcterms:modified>
  <cp:category/>
</cp:coreProperties>
</file>