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1AB36" w14:textId="77777777" w:rsidR="005F53C1" w:rsidRPr="00D642B5" w:rsidRDefault="001B6848" w:rsidP="00D642B5">
      <w:pPr>
        <w:pStyle w:val="Heading1"/>
        <w:spacing w:before="0"/>
        <w:rPr>
          <w:color w:val="auto"/>
        </w:rPr>
      </w:pPr>
      <w:r w:rsidRPr="00D642B5">
        <w:rPr>
          <w:color w:val="auto"/>
        </w:rPr>
        <w:t>Hospital Board Briefing Packet</w:t>
      </w:r>
    </w:p>
    <w:p w14:paraId="7DA11472" w14:textId="01B9164A" w:rsidR="005F53C1" w:rsidRPr="00D642B5" w:rsidRDefault="001B6848" w:rsidP="00D642B5">
      <w:r w:rsidRPr="00D642B5">
        <w:t>Confidential Governance-Level Briefing</w:t>
      </w:r>
    </w:p>
    <w:p w14:paraId="67169806" w14:textId="77777777" w:rsidR="005F53C1" w:rsidRPr="00D642B5" w:rsidRDefault="001B6848" w:rsidP="00D642B5">
      <w:pPr>
        <w:pStyle w:val="Heading2"/>
        <w:spacing w:before="0"/>
        <w:rPr>
          <w:color w:val="auto"/>
        </w:rPr>
      </w:pPr>
      <w:r w:rsidRPr="00D642B5">
        <w:rPr>
          <w:color w:val="auto"/>
        </w:rPr>
        <w:t>I. Executive Overview</w:t>
      </w:r>
    </w:p>
    <w:p w14:paraId="68D30714" w14:textId="77777777" w:rsidR="005F53C1" w:rsidRPr="00D642B5" w:rsidRDefault="001B6848" w:rsidP="00D642B5">
      <w:r w:rsidRPr="00D642B5">
        <w:t>North Carolina hospitals—particularly rural and independent facilities—are operating in an environment of workforce shortages, recruitment challenges, reimbursement pressure, and growing community demand. Updating APRN practice authority is not a political initiative; it is an operational modernization strategy.</w:t>
      </w:r>
    </w:p>
    <w:p w14:paraId="02C36F7F" w14:textId="77777777" w:rsidR="005F53C1" w:rsidRPr="00D642B5" w:rsidRDefault="001B6848" w:rsidP="00D642B5">
      <w:r w:rsidRPr="00D642B5">
        <w:t>National and multi-state research now provides additional operational validation for what hospital leaders are already experiencing: when advanced practice nurses are allowed to practice to the full extent of their education and licensure, access expands, workforce stability improves, and rural service continuity strengthens.</w:t>
      </w:r>
    </w:p>
    <w:p w14:paraId="1E991DD3" w14:textId="77777777" w:rsidR="005F53C1" w:rsidRPr="00D642B5" w:rsidRDefault="001B6848" w:rsidP="00D642B5">
      <w:pPr>
        <w:pStyle w:val="Heading2"/>
        <w:spacing w:before="0"/>
        <w:rPr>
          <w:color w:val="auto"/>
        </w:rPr>
      </w:pPr>
      <w:r w:rsidRPr="00D642B5">
        <w:rPr>
          <w:color w:val="auto"/>
        </w:rPr>
        <w:t>II. National Operational Evidence (2026 AANP Study)</w:t>
      </w:r>
    </w:p>
    <w:p w14:paraId="7319F474" w14:textId="77777777" w:rsidR="005F53C1" w:rsidRPr="00D642B5" w:rsidRDefault="001B6848" w:rsidP="00D642B5">
      <w:r w:rsidRPr="00D642B5">
        <w:t>A 2026 multi-state evaluation of nurse practitioner–owned primary care practices across six full practice authority (FPA) states provides measurable insights relevant to hospital systems:</w:t>
      </w:r>
    </w:p>
    <w:p w14:paraId="45C3FDF3" w14:textId="77777777" w:rsidR="005F53C1" w:rsidRPr="00D642B5" w:rsidRDefault="001B6848" w:rsidP="00D642B5">
      <w:pPr>
        <w:pStyle w:val="ListBullet"/>
      </w:pPr>
      <w:r w:rsidRPr="00D642B5">
        <w:t>Average patient panel size per NP: 867 patients (significantly smaller than traditional PCP panels, enabling faster access)</w:t>
      </w:r>
    </w:p>
    <w:p w14:paraId="0AF23E34" w14:textId="77777777" w:rsidR="005F53C1" w:rsidRPr="00D642B5" w:rsidRDefault="001B6848" w:rsidP="00D642B5">
      <w:pPr>
        <w:pStyle w:val="ListBullet"/>
      </w:pPr>
      <w:r w:rsidRPr="00D642B5">
        <w:t>84% of practices offer same-day appointments for existing patients</w:t>
      </w:r>
    </w:p>
    <w:p w14:paraId="0A490C16" w14:textId="77777777" w:rsidR="005F53C1" w:rsidRPr="00D642B5" w:rsidRDefault="001B6848" w:rsidP="00D642B5">
      <w:pPr>
        <w:pStyle w:val="ListBullet"/>
      </w:pPr>
      <w:r w:rsidRPr="00D642B5">
        <w:t>57% provide new patient appointments within two weeks</w:t>
      </w:r>
    </w:p>
    <w:p w14:paraId="2F616E80" w14:textId="77777777" w:rsidR="005F53C1" w:rsidRPr="00D642B5" w:rsidRDefault="001B6848" w:rsidP="00D642B5">
      <w:pPr>
        <w:pStyle w:val="ListBullet"/>
      </w:pPr>
      <w:r w:rsidRPr="00D642B5">
        <w:t>26% located in primary care Health Professional Shortage Areas (HPSAs)</w:t>
      </w:r>
    </w:p>
    <w:p w14:paraId="47D8FB6B" w14:textId="77777777" w:rsidR="005F53C1" w:rsidRPr="00D642B5" w:rsidRDefault="001B6848" w:rsidP="00D642B5">
      <w:pPr>
        <w:pStyle w:val="ListBullet"/>
      </w:pPr>
      <w:r w:rsidRPr="00D642B5">
        <w:t>57% located in mental health HPSAs</w:t>
      </w:r>
    </w:p>
    <w:p w14:paraId="6A320652" w14:textId="77777777" w:rsidR="005F53C1" w:rsidRPr="00D642B5" w:rsidRDefault="001B6848" w:rsidP="00D642B5">
      <w:pPr>
        <w:pStyle w:val="ListBullet"/>
      </w:pPr>
      <w:r w:rsidRPr="00D642B5">
        <w:t>NP self-employment increased up to 374% after FPA implementation</w:t>
      </w:r>
    </w:p>
    <w:p w14:paraId="1C295873" w14:textId="77777777" w:rsidR="005F53C1" w:rsidRPr="00D642B5" w:rsidRDefault="001B6848" w:rsidP="00D642B5">
      <w:pPr>
        <w:pStyle w:val="ListBullet"/>
      </w:pPr>
      <w:r w:rsidRPr="00D642B5">
        <w:t>NPs were 46.5% more likely to practice in shortage areas following FPA</w:t>
      </w:r>
    </w:p>
    <w:p w14:paraId="7932F363" w14:textId="77777777" w:rsidR="005F53C1" w:rsidRPr="00D642B5" w:rsidRDefault="001B6848" w:rsidP="00D642B5">
      <w:r w:rsidRPr="00D642B5">
        <w:t>These findings demonstrate that workforce flexibility directly correlates with improved access and rural deployment—not theoretical projections, but measurable outcomes.</w:t>
      </w:r>
    </w:p>
    <w:p w14:paraId="32B02556" w14:textId="77777777" w:rsidR="005F53C1" w:rsidRPr="00D642B5" w:rsidRDefault="001B6848" w:rsidP="00D642B5">
      <w:pPr>
        <w:pStyle w:val="Heading2"/>
        <w:spacing w:before="0"/>
        <w:rPr>
          <w:color w:val="auto"/>
        </w:rPr>
      </w:pPr>
      <w:r w:rsidRPr="00D642B5">
        <w:rPr>
          <w:color w:val="auto"/>
        </w:rPr>
        <w:t>III. Rural Hospital Stability &amp; Service Line Protection</w:t>
      </w:r>
    </w:p>
    <w:p w14:paraId="2A951E33" w14:textId="77777777" w:rsidR="005F53C1" w:rsidRPr="00D642B5" w:rsidRDefault="001B6848" w:rsidP="00D642B5">
      <w:r w:rsidRPr="00D642B5">
        <w:t>Independent and rural hospitals face unique risks: provider recruitment delays, service line vulnerability, and increased patient leakage to larger systems.</w:t>
      </w:r>
    </w:p>
    <w:p w14:paraId="35B448B8" w14:textId="77777777" w:rsidR="005F53C1" w:rsidRPr="00D642B5" w:rsidRDefault="001B6848" w:rsidP="00D642B5">
      <w:r w:rsidRPr="00D642B5">
        <w:t>Modernized APRN authority supports rural hospital resilience by:</w:t>
      </w:r>
    </w:p>
    <w:p w14:paraId="60568B8A" w14:textId="77777777" w:rsidR="005F53C1" w:rsidRPr="00D642B5" w:rsidRDefault="001B6848" w:rsidP="00D642B5">
      <w:pPr>
        <w:pStyle w:val="ListBullet"/>
      </w:pPr>
      <w:r w:rsidRPr="00D642B5">
        <w:t>Increasing recruitment flexibility in primary care and specialty support roles</w:t>
      </w:r>
    </w:p>
    <w:p w14:paraId="73341F05" w14:textId="77777777" w:rsidR="005F53C1" w:rsidRPr="00D642B5" w:rsidRDefault="001B6848" w:rsidP="00D642B5">
      <w:pPr>
        <w:pStyle w:val="ListBullet"/>
      </w:pPr>
      <w:r w:rsidRPr="00D642B5">
        <w:t>Reducing delays caused by supervision contract constraints</w:t>
      </w:r>
    </w:p>
    <w:p w14:paraId="3197069E" w14:textId="77777777" w:rsidR="005F53C1" w:rsidRPr="00D642B5" w:rsidRDefault="001B6848" w:rsidP="00D642B5">
      <w:pPr>
        <w:pStyle w:val="ListBullet"/>
      </w:pPr>
      <w:r w:rsidRPr="00D642B5">
        <w:t>Expanding behavioral health and chronic disease management capacity</w:t>
      </w:r>
    </w:p>
    <w:p w14:paraId="09E5A25C" w14:textId="77777777" w:rsidR="005F53C1" w:rsidRPr="00D642B5" w:rsidRDefault="001B6848" w:rsidP="00D642B5">
      <w:pPr>
        <w:pStyle w:val="ListBullet"/>
      </w:pPr>
      <w:r w:rsidRPr="00D642B5">
        <w:t>Improving continuity of care within hospital-affiliated outpatient settings</w:t>
      </w:r>
    </w:p>
    <w:p w14:paraId="4992576C" w14:textId="77777777" w:rsidR="005F53C1" w:rsidRPr="00D642B5" w:rsidRDefault="001B6848" w:rsidP="00D642B5">
      <w:pPr>
        <w:pStyle w:val="ListBullet"/>
      </w:pPr>
      <w:r w:rsidRPr="00D642B5">
        <w:t>Reducing patient outmigration due to appointment backlogs</w:t>
      </w:r>
    </w:p>
    <w:p w14:paraId="0E30A653" w14:textId="77777777" w:rsidR="005F53C1" w:rsidRPr="00D642B5" w:rsidRDefault="001B6848" w:rsidP="00D642B5">
      <w:r w:rsidRPr="00D642B5">
        <w:t>Independent rural facilities in other states have reported improved provider retention and increased outpatient stability following modernization reforms.</w:t>
      </w:r>
    </w:p>
    <w:p w14:paraId="7B697AB1" w14:textId="77777777" w:rsidR="005F53C1" w:rsidRPr="00D642B5" w:rsidRDefault="001B6848" w:rsidP="00D642B5">
      <w:pPr>
        <w:pStyle w:val="Heading2"/>
        <w:spacing w:before="0"/>
        <w:rPr>
          <w:color w:val="auto"/>
        </w:rPr>
      </w:pPr>
      <w:r w:rsidRPr="00D642B5">
        <w:rPr>
          <w:color w:val="auto"/>
        </w:rPr>
        <w:t>IV. Value-Based Care &amp; Financial Sustainability</w:t>
      </w:r>
    </w:p>
    <w:p w14:paraId="1894CF84" w14:textId="77777777" w:rsidR="005F53C1" w:rsidRPr="00D642B5" w:rsidRDefault="001B6848" w:rsidP="00D642B5">
      <w:r w:rsidRPr="00D642B5">
        <w:t>The 2026 study also highlights operational barriers that restrict independent practices and hospital-aligned outpatient models from fully participating in value-based care programs.</w:t>
      </w:r>
    </w:p>
    <w:p w14:paraId="1FE9AE22" w14:textId="77777777" w:rsidR="005F53C1" w:rsidRPr="00D642B5" w:rsidRDefault="001B6848" w:rsidP="00D642B5">
      <w:pPr>
        <w:pStyle w:val="ListBullet"/>
      </w:pPr>
      <w:r w:rsidRPr="00D642B5">
        <w:lastRenderedPageBreak/>
        <w:t>79% cited inadequate reimbursement structures</w:t>
      </w:r>
    </w:p>
    <w:p w14:paraId="62CA0426" w14:textId="77777777" w:rsidR="005F53C1" w:rsidRPr="00D642B5" w:rsidRDefault="001B6848" w:rsidP="00D642B5">
      <w:pPr>
        <w:pStyle w:val="ListBullet"/>
      </w:pPr>
      <w:r w:rsidRPr="00D642B5">
        <w:t>74% reported administrative burden as a major workforce strain</w:t>
      </w:r>
    </w:p>
    <w:p w14:paraId="7B0E0FAD" w14:textId="77777777" w:rsidR="005F53C1" w:rsidRPr="00D642B5" w:rsidRDefault="001B6848" w:rsidP="00D642B5">
      <w:pPr>
        <w:pStyle w:val="ListBullet"/>
      </w:pPr>
      <w:r w:rsidRPr="00D642B5">
        <w:t>Limited payer attribution recognition for NP-led care models</w:t>
      </w:r>
    </w:p>
    <w:p w14:paraId="657C52F0" w14:textId="77777777" w:rsidR="005F53C1" w:rsidRPr="00D642B5" w:rsidRDefault="001B6848" w:rsidP="00D642B5">
      <w:pPr>
        <w:pStyle w:val="ListBullet"/>
      </w:pPr>
      <w:r w:rsidRPr="00D642B5">
        <w:t>Restricted participation in value-based contracting frameworks</w:t>
      </w:r>
    </w:p>
    <w:p w14:paraId="6D869B06" w14:textId="77777777" w:rsidR="005F53C1" w:rsidRPr="00D642B5" w:rsidRDefault="001B6848" w:rsidP="00D642B5">
      <w:r w:rsidRPr="00D642B5">
        <w:t>Addressing statutory constraints allows hospitals greater structural flexibility to align care delivery with value-based payment models and evolving workforce realities.</w:t>
      </w:r>
    </w:p>
    <w:p w14:paraId="5FF62D37" w14:textId="77777777" w:rsidR="005F53C1" w:rsidRPr="00D642B5" w:rsidRDefault="001B6848" w:rsidP="00D642B5">
      <w:pPr>
        <w:pStyle w:val="Heading2"/>
        <w:spacing w:before="0"/>
        <w:rPr>
          <w:color w:val="auto"/>
        </w:rPr>
      </w:pPr>
      <w:r w:rsidRPr="00D642B5">
        <w:rPr>
          <w:color w:val="auto"/>
        </w:rPr>
        <w:t>V. Governance Considerations for Hospital Boards</w:t>
      </w:r>
    </w:p>
    <w:p w14:paraId="02317086" w14:textId="77777777" w:rsidR="005F53C1" w:rsidRPr="00D642B5" w:rsidRDefault="001B6848" w:rsidP="00D642B5">
      <w:r w:rsidRPr="00D642B5">
        <w:t>Board-level discussion questions:</w:t>
      </w:r>
    </w:p>
    <w:p w14:paraId="3DB67A7B" w14:textId="77777777" w:rsidR="005F53C1" w:rsidRPr="00D642B5" w:rsidRDefault="001B6848" w:rsidP="00D642B5">
      <w:pPr>
        <w:pStyle w:val="ListBullet"/>
      </w:pPr>
      <w:r w:rsidRPr="00D642B5">
        <w:t>How are current supervision requirements affecting recruitment timelines?</w:t>
      </w:r>
    </w:p>
    <w:p w14:paraId="1C858433" w14:textId="77777777" w:rsidR="005F53C1" w:rsidRPr="00D642B5" w:rsidRDefault="001B6848" w:rsidP="00D642B5">
      <w:pPr>
        <w:pStyle w:val="ListBullet"/>
      </w:pPr>
      <w:r w:rsidRPr="00D642B5">
        <w:t>Are outpatient service lines experiencing provider bottlenecks due to collaboration constraints?</w:t>
      </w:r>
    </w:p>
    <w:p w14:paraId="492D55E5" w14:textId="77777777" w:rsidR="005F53C1" w:rsidRPr="00D642B5" w:rsidRDefault="001B6848" w:rsidP="00D642B5">
      <w:pPr>
        <w:pStyle w:val="ListBullet"/>
      </w:pPr>
      <w:r w:rsidRPr="00D642B5">
        <w:t>Would expanded authority improve rural affiliate stability?</w:t>
      </w:r>
    </w:p>
    <w:p w14:paraId="6B4502F6" w14:textId="77777777" w:rsidR="005F53C1" w:rsidRPr="00D642B5" w:rsidRDefault="001B6848" w:rsidP="00D642B5">
      <w:pPr>
        <w:pStyle w:val="ListBullet"/>
      </w:pPr>
      <w:r w:rsidRPr="00D642B5">
        <w:t>Does modernization align with our long-term workforce sustainability strategy?</w:t>
      </w:r>
    </w:p>
    <w:p w14:paraId="518F903A" w14:textId="77777777" w:rsidR="005F53C1" w:rsidRPr="00D642B5" w:rsidRDefault="001B6848" w:rsidP="00D642B5">
      <w:pPr>
        <w:pStyle w:val="ListBullet"/>
      </w:pPr>
      <w:r w:rsidRPr="00D642B5">
        <w:t>How does this issue intersect with behavioral health and primary care expansion plans?</w:t>
      </w:r>
    </w:p>
    <w:p w14:paraId="0B9CDA77" w14:textId="77777777" w:rsidR="005F53C1" w:rsidRPr="00D642B5" w:rsidRDefault="001B6848" w:rsidP="00D642B5">
      <w:pPr>
        <w:pStyle w:val="Heading2"/>
        <w:spacing w:before="0"/>
        <w:rPr>
          <w:color w:val="auto"/>
        </w:rPr>
      </w:pPr>
      <w:r w:rsidRPr="00D642B5">
        <w:rPr>
          <w:color w:val="auto"/>
        </w:rPr>
        <w:t>VI. Strategic Framing</w:t>
      </w:r>
    </w:p>
    <w:p w14:paraId="0CCAF77A" w14:textId="3498BB52" w:rsidR="005F53C1" w:rsidRPr="00D642B5" w:rsidRDefault="001B6848" w:rsidP="00D642B5">
      <w:r w:rsidRPr="00D642B5">
        <w:t>This issue should be evaluated through an operational and workforce lens rather than a scope-of-practice debate. Hospitals must balance recruitment realities, community access, and financial sustainability. Modernizing APRN authority aligns with these institutional priorities.</w:t>
      </w:r>
    </w:p>
    <w:sectPr w:rsidR="005F53C1" w:rsidRPr="00D642B5" w:rsidSect="00D642B5">
      <w:pgSz w:w="12240" w:h="15840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99178541">
    <w:abstractNumId w:val="8"/>
  </w:num>
  <w:num w:numId="2" w16cid:durableId="1699116788">
    <w:abstractNumId w:val="6"/>
  </w:num>
  <w:num w:numId="3" w16cid:durableId="580214634">
    <w:abstractNumId w:val="5"/>
  </w:num>
  <w:num w:numId="4" w16cid:durableId="1297222005">
    <w:abstractNumId w:val="4"/>
  </w:num>
  <w:num w:numId="5" w16cid:durableId="1774939263">
    <w:abstractNumId w:val="7"/>
  </w:num>
  <w:num w:numId="6" w16cid:durableId="1365666945">
    <w:abstractNumId w:val="3"/>
  </w:num>
  <w:num w:numId="7" w16cid:durableId="439377045">
    <w:abstractNumId w:val="2"/>
  </w:num>
  <w:num w:numId="8" w16cid:durableId="73287712">
    <w:abstractNumId w:val="1"/>
  </w:num>
  <w:num w:numId="9" w16cid:durableId="1721321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B6848"/>
    <w:rsid w:val="0029639D"/>
    <w:rsid w:val="00326F90"/>
    <w:rsid w:val="00510DDB"/>
    <w:rsid w:val="005465D7"/>
    <w:rsid w:val="005F53C1"/>
    <w:rsid w:val="0091498C"/>
    <w:rsid w:val="00AA1D8D"/>
    <w:rsid w:val="00B47730"/>
    <w:rsid w:val="00CB0664"/>
    <w:rsid w:val="00D642B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4923813"/>
  <w14:defaultImageDpi w14:val="300"/>
  <w15:docId w15:val="{20A2EC9D-87EC-4F02-9C4A-24009C8B3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569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3810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Teresa Kriegsman</cp:lastModifiedBy>
  <cp:revision>3</cp:revision>
  <dcterms:created xsi:type="dcterms:W3CDTF">2026-02-20T20:16:00Z</dcterms:created>
  <dcterms:modified xsi:type="dcterms:W3CDTF">2026-03-26T02:50:00Z</dcterms:modified>
  <cp:category/>
</cp:coreProperties>
</file>