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6D39" w14:textId="77777777" w:rsidR="006A68DD" w:rsidRPr="00285CA5" w:rsidRDefault="00EA5E6B" w:rsidP="00285CA5">
      <w:pPr>
        <w:pStyle w:val="Heading1"/>
        <w:spacing w:before="0"/>
        <w:rPr>
          <w:color w:val="auto"/>
        </w:rPr>
      </w:pPr>
      <w:r w:rsidRPr="00285CA5">
        <w:rPr>
          <w:color w:val="auto"/>
        </w:rPr>
        <w:t>Clinical Safety &amp; Outcomes Deep-Dive Sheet</w:t>
      </w:r>
    </w:p>
    <w:p w14:paraId="588EB078" w14:textId="77777777" w:rsidR="006A68DD" w:rsidRPr="00285CA5" w:rsidRDefault="006A68DD" w:rsidP="00285CA5">
      <w:pPr>
        <w:spacing w:after="0"/>
      </w:pPr>
    </w:p>
    <w:p w14:paraId="7514DD68" w14:textId="77777777" w:rsidR="006A68DD" w:rsidRPr="00285CA5" w:rsidRDefault="00EA5E6B" w:rsidP="00285CA5">
      <w:pPr>
        <w:pStyle w:val="Heading2"/>
        <w:spacing w:before="0"/>
        <w:rPr>
          <w:color w:val="auto"/>
        </w:rPr>
      </w:pPr>
      <w:r w:rsidRPr="00285CA5">
        <w:rPr>
          <w:color w:val="auto"/>
        </w:rPr>
        <w:t>Purpose</w:t>
      </w:r>
    </w:p>
    <w:p w14:paraId="3C7EDB9D" w14:textId="77777777" w:rsidR="006A68DD" w:rsidRPr="00285CA5" w:rsidRDefault="00EA5E6B">
      <w:r w:rsidRPr="00285CA5">
        <w:t>This brief compiles clinical safety and outcomes evidence supporting APRN-delivered care within scope. It is designed to address safety concerns with peer-reviewed data, federal precedent, and real-world experience.</w:t>
      </w:r>
    </w:p>
    <w:p w14:paraId="69BBE130" w14:textId="77777777" w:rsidR="006A68DD" w:rsidRPr="00285CA5" w:rsidRDefault="00EA5E6B">
      <w:pPr>
        <w:pStyle w:val="Heading2"/>
        <w:rPr>
          <w:color w:val="auto"/>
        </w:rPr>
      </w:pPr>
      <w:r w:rsidRPr="00285CA5">
        <w:rPr>
          <w:color w:val="auto"/>
        </w:rPr>
        <w:t>1) Peer-Reviewed National Evidence</w:t>
      </w:r>
    </w:p>
    <w:p w14:paraId="67BACF65" w14:textId="77777777" w:rsidR="006A68DD" w:rsidRPr="00285CA5" w:rsidRDefault="00EA5E6B">
      <w:pPr>
        <w:pStyle w:val="ListBullet"/>
      </w:pPr>
      <w:r w:rsidRPr="00285CA5">
        <w:t>Decades of peer-reviewed research demonstrate comparable patient outcomes between APRNs and physicians within scope of practice.</w:t>
      </w:r>
    </w:p>
    <w:p w14:paraId="04B3312F" w14:textId="77777777" w:rsidR="006A68DD" w:rsidRPr="00285CA5" w:rsidRDefault="00EA5E6B">
      <w:pPr>
        <w:pStyle w:val="ListBullet"/>
      </w:pPr>
      <w:r w:rsidRPr="00285CA5">
        <w:t>Multiple systematic reviews find no evidence of reduced safety in full practice authority states.</w:t>
      </w:r>
    </w:p>
    <w:p w14:paraId="6972833B" w14:textId="77777777" w:rsidR="006A68DD" w:rsidRPr="00285CA5" w:rsidRDefault="00EA5E6B">
      <w:pPr>
        <w:pStyle w:val="ListBullet"/>
      </w:pPr>
      <w:r w:rsidRPr="00285CA5">
        <w:t>Uploaded 'Overwhelming Evidence' materials summarize extensive outcome data across primary care settings.</w:t>
      </w:r>
    </w:p>
    <w:p w14:paraId="6921603F" w14:textId="77777777" w:rsidR="006A68DD" w:rsidRPr="00285CA5" w:rsidRDefault="00EA5E6B">
      <w:pPr>
        <w:pStyle w:val="Heading2"/>
        <w:rPr>
          <w:color w:val="auto"/>
        </w:rPr>
      </w:pPr>
      <w:r w:rsidRPr="00285CA5">
        <w:rPr>
          <w:color w:val="auto"/>
        </w:rPr>
        <w:t>2) Recent Evaluation Research (2026 AANP Study)</w:t>
      </w:r>
    </w:p>
    <w:p w14:paraId="40764DB8" w14:textId="77777777" w:rsidR="006A68DD" w:rsidRPr="00285CA5" w:rsidRDefault="00EA5E6B">
      <w:pPr>
        <w:pStyle w:val="ListBullet"/>
      </w:pPr>
      <w:r w:rsidRPr="00285CA5">
        <w:t>Recent primary care delivery evaluation research reinforces effectiveness of nurse practitioner-led models.</w:t>
      </w:r>
    </w:p>
    <w:p w14:paraId="159056DA" w14:textId="77777777" w:rsidR="006A68DD" w:rsidRPr="00285CA5" w:rsidRDefault="00EA5E6B">
      <w:pPr>
        <w:pStyle w:val="ListBullet"/>
      </w:pPr>
      <w:r w:rsidRPr="00285CA5">
        <w:t>Evidence supports quality performance metrics comparable to traditional delivery structures.</w:t>
      </w:r>
    </w:p>
    <w:p w14:paraId="5D6095DA" w14:textId="77777777" w:rsidR="006A68DD" w:rsidRPr="00285CA5" w:rsidRDefault="00EA5E6B">
      <w:pPr>
        <w:pStyle w:val="ListBullet"/>
      </w:pPr>
      <w:r w:rsidRPr="00285CA5">
        <w:t>Research underscores operational sustainability in modernized environments.</w:t>
      </w:r>
    </w:p>
    <w:p w14:paraId="5D61AFEC" w14:textId="77777777" w:rsidR="006A68DD" w:rsidRPr="00285CA5" w:rsidRDefault="00EA5E6B">
      <w:pPr>
        <w:pStyle w:val="Heading2"/>
        <w:rPr>
          <w:color w:val="auto"/>
        </w:rPr>
      </w:pPr>
      <w:r w:rsidRPr="00285CA5">
        <w:rPr>
          <w:color w:val="auto"/>
        </w:rPr>
        <w:t>3) Federal Precedent: Veterans Affairs System</w:t>
      </w:r>
    </w:p>
    <w:p w14:paraId="07A6E7E0" w14:textId="77777777" w:rsidR="006A68DD" w:rsidRPr="00285CA5" w:rsidRDefault="00EA5E6B">
      <w:pPr>
        <w:pStyle w:val="ListBullet"/>
      </w:pPr>
      <w:r w:rsidRPr="00285CA5">
        <w:t>The U.S. Department of Veterans Affairs grants full practice authority to nurse practitioners.</w:t>
      </w:r>
    </w:p>
    <w:p w14:paraId="291A2882" w14:textId="77777777" w:rsidR="006A68DD" w:rsidRPr="00285CA5" w:rsidRDefault="00EA5E6B">
      <w:pPr>
        <w:pStyle w:val="ListBullet"/>
      </w:pPr>
      <w:r w:rsidRPr="00285CA5">
        <w:t>North Carolina veterans already receive care under this model.</w:t>
      </w:r>
    </w:p>
    <w:p w14:paraId="6B90DC8A" w14:textId="77777777" w:rsidR="006A68DD" w:rsidRPr="00285CA5" w:rsidRDefault="00EA5E6B">
      <w:pPr>
        <w:pStyle w:val="ListBullet"/>
      </w:pPr>
      <w:r w:rsidRPr="00285CA5">
        <w:t>The VA model operates without documented systemic safety decline.</w:t>
      </w:r>
    </w:p>
    <w:p w14:paraId="2F6987C1" w14:textId="77777777" w:rsidR="006A68DD" w:rsidRPr="00285CA5" w:rsidRDefault="00EA5E6B">
      <w:pPr>
        <w:pStyle w:val="Heading2"/>
        <w:rPr>
          <w:color w:val="auto"/>
        </w:rPr>
      </w:pPr>
      <w:r w:rsidRPr="00285CA5">
        <w:rPr>
          <w:color w:val="auto"/>
        </w:rPr>
        <w:t>4) North Carolina Real-World Experience</w:t>
      </w:r>
    </w:p>
    <w:p w14:paraId="7E89C70F" w14:textId="77777777" w:rsidR="006A68DD" w:rsidRPr="00285CA5" w:rsidRDefault="00EA5E6B">
      <w:pPr>
        <w:pStyle w:val="ListBullet"/>
      </w:pPr>
      <w:r w:rsidRPr="00285CA5">
        <w:t>COVID-era waivers allowed expanded APRN flexibility without documented safety collapse.</w:t>
      </w:r>
    </w:p>
    <w:p w14:paraId="06A68363" w14:textId="77777777" w:rsidR="006A68DD" w:rsidRPr="00285CA5" w:rsidRDefault="00EA5E6B">
      <w:pPr>
        <w:pStyle w:val="ListBullet"/>
      </w:pPr>
      <w:r w:rsidRPr="00285CA5">
        <w:t>Rural counties rely heavily on APRNs and CRNAs for frontline care.</w:t>
      </w:r>
    </w:p>
    <w:p w14:paraId="3D0B2709" w14:textId="77777777" w:rsidR="006A68DD" w:rsidRPr="00285CA5" w:rsidRDefault="00EA5E6B">
      <w:pPr>
        <w:pStyle w:val="ListBullet"/>
      </w:pPr>
      <w:r w:rsidRPr="00285CA5">
        <w:t>Operational continuity during crisis periods supports modernization viability.</w:t>
      </w:r>
    </w:p>
    <w:p w14:paraId="6FE55557" w14:textId="77777777" w:rsidR="006A68DD" w:rsidRPr="00285CA5" w:rsidRDefault="00EA5E6B">
      <w:pPr>
        <w:pStyle w:val="Heading2"/>
        <w:rPr>
          <w:color w:val="auto"/>
        </w:rPr>
      </w:pPr>
      <w:r w:rsidRPr="00285CA5">
        <w:rPr>
          <w:color w:val="auto"/>
        </w:rPr>
        <w:t>5) CRNA-Specific Evidence (Where Applicable)</w:t>
      </w:r>
    </w:p>
    <w:p w14:paraId="4C07D8F9" w14:textId="77777777" w:rsidR="006A68DD" w:rsidRPr="00285CA5" w:rsidRDefault="00EA5E6B">
      <w:pPr>
        <w:pStyle w:val="ListBullet"/>
      </w:pPr>
      <w:r w:rsidRPr="00285CA5">
        <w:t>CRNAs safely deliver anesthesia care nationwide, including in independent rural settings.</w:t>
      </w:r>
    </w:p>
    <w:p w14:paraId="641BB7B9" w14:textId="77777777" w:rsidR="006A68DD" w:rsidRPr="00285CA5" w:rsidRDefault="00EA5E6B">
      <w:pPr>
        <w:pStyle w:val="ListBullet"/>
      </w:pPr>
      <w:r w:rsidRPr="00285CA5">
        <w:t>Many North Carolina counties utilize CRNA-only anesthesia coverage.</w:t>
      </w:r>
    </w:p>
    <w:p w14:paraId="16642A4C" w14:textId="77777777" w:rsidR="006A68DD" w:rsidRPr="00285CA5" w:rsidRDefault="00EA5E6B">
      <w:pPr>
        <w:pStyle w:val="ListBullet"/>
      </w:pPr>
      <w:r w:rsidRPr="00285CA5">
        <w:t>National data supports safety and cost-effectiveness in CRNA-led models.</w:t>
      </w:r>
    </w:p>
    <w:p w14:paraId="1BB76347" w14:textId="77777777" w:rsidR="006A68DD" w:rsidRPr="00285CA5" w:rsidRDefault="00EA5E6B">
      <w:pPr>
        <w:pStyle w:val="Heading2"/>
        <w:rPr>
          <w:color w:val="auto"/>
        </w:rPr>
      </w:pPr>
      <w:r w:rsidRPr="00285CA5">
        <w:rPr>
          <w:color w:val="auto"/>
        </w:rPr>
        <w:t>Common Safety Questions Addressed</w:t>
      </w:r>
    </w:p>
    <w:p w14:paraId="65686113" w14:textId="77777777" w:rsidR="006A68DD" w:rsidRPr="00285CA5" w:rsidRDefault="00EA5E6B">
      <w:pPr>
        <w:pStyle w:val="ListBullet"/>
      </w:pPr>
      <w:r w:rsidRPr="00285CA5">
        <w:t>Modernization does not remove collaboration between clinicians.</w:t>
      </w:r>
    </w:p>
    <w:p w14:paraId="7060FE46" w14:textId="77777777" w:rsidR="006A68DD" w:rsidRPr="00285CA5" w:rsidRDefault="00EA5E6B">
      <w:pPr>
        <w:pStyle w:val="ListBullet"/>
      </w:pPr>
      <w:r w:rsidRPr="00285CA5">
        <w:t>Licensure, certification, and continuing education standards remain intact.</w:t>
      </w:r>
    </w:p>
    <w:p w14:paraId="5407C49B" w14:textId="77777777" w:rsidR="006A68DD" w:rsidRPr="00285CA5" w:rsidRDefault="00EA5E6B">
      <w:pPr>
        <w:pStyle w:val="ListBullet"/>
      </w:pPr>
      <w:r w:rsidRPr="00285CA5">
        <w:t>Scope of practice remains defined by education and training.</w:t>
      </w:r>
    </w:p>
    <w:p w14:paraId="490E4DD8" w14:textId="77777777" w:rsidR="006A68DD" w:rsidRPr="00285CA5" w:rsidRDefault="00EA5E6B">
      <w:pPr>
        <w:pStyle w:val="ListBullet"/>
      </w:pPr>
      <w:r w:rsidRPr="00285CA5">
        <w:t>Evidence does not support claims of reduced safety in full practice authority environments.</w:t>
      </w:r>
    </w:p>
    <w:p w14:paraId="44CD21A6" w14:textId="77777777" w:rsidR="006A68DD" w:rsidRPr="00285CA5" w:rsidRDefault="00EA5E6B">
      <w:pPr>
        <w:pStyle w:val="Heading2"/>
        <w:rPr>
          <w:color w:val="auto"/>
        </w:rPr>
      </w:pPr>
      <w:r w:rsidRPr="00285CA5">
        <w:rPr>
          <w:color w:val="auto"/>
        </w:rPr>
        <w:t>Bottom Line</w:t>
      </w:r>
    </w:p>
    <w:p w14:paraId="0C90B067" w14:textId="77777777" w:rsidR="006A68DD" w:rsidRPr="00285CA5" w:rsidRDefault="00EA5E6B">
      <w:r w:rsidRPr="00285CA5">
        <w:t>Clinical safety concerns are not supported by decades of research or real-world experience. Expanded practice authority has been tested nationally and within North Carolina conditions without evidence of systemic safety compromise.</w:t>
      </w:r>
    </w:p>
    <w:sectPr w:rsidR="006A68DD" w:rsidRPr="00285CA5" w:rsidSect="00285CA5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6482201">
    <w:abstractNumId w:val="8"/>
  </w:num>
  <w:num w:numId="2" w16cid:durableId="141623439">
    <w:abstractNumId w:val="6"/>
  </w:num>
  <w:num w:numId="3" w16cid:durableId="1181117529">
    <w:abstractNumId w:val="5"/>
  </w:num>
  <w:num w:numId="4" w16cid:durableId="1591088054">
    <w:abstractNumId w:val="4"/>
  </w:num>
  <w:num w:numId="5" w16cid:durableId="112360187">
    <w:abstractNumId w:val="7"/>
  </w:num>
  <w:num w:numId="6" w16cid:durableId="987972516">
    <w:abstractNumId w:val="3"/>
  </w:num>
  <w:num w:numId="7" w16cid:durableId="651913199">
    <w:abstractNumId w:val="2"/>
  </w:num>
  <w:num w:numId="8" w16cid:durableId="430130710">
    <w:abstractNumId w:val="1"/>
  </w:num>
  <w:num w:numId="9" w16cid:durableId="382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5CA5"/>
    <w:rsid w:val="0029639D"/>
    <w:rsid w:val="00326F90"/>
    <w:rsid w:val="006A68DD"/>
    <w:rsid w:val="00794FD4"/>
    <w:rsid w:val="0095475D"/>
    <w:rsid w:val="00AA1D8D"/>
    <w:rsid w:val="00B47730"/>
    <w:rsid w:val="00CB0664"/>
    <w:rsid w:val="00EA5E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BDFFB2"/>
  <w14:defaultImageDpi w14:val="300"/>
  <w15:docId w15:val="{134001AB-5591-4C8E-BDD3-AA75743D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2026-02-25T15:30:00Z</dcterms:created>
  <dcterms:modified xsi:type="dcterms:W3CDTF">2026-03-26T02:58:00Z</dcterms:modified>
  <cp:category/>
</cp:coreProperties>
</file>